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95" w:rsidRPr="00450995" w:rsidRDefault="00450995" w:rsidP="00450995">
      <w:pPr>
        <w:shd w:val="clear" w:color="auto" w:fill="FFFFFF"/>
        <w:spacing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15"/>
          <w:szCs w:val="15"/>
          <w:lang w:eastAsia="tr-TR"/>
        </w:rPr>
      </w:pPr>
      <w:proofErr w:type="spellStart"/>
      <w:r w:rsidRPr="00450995">
        <w:rPr>
          <w:rFonts w:ascii="Verdana" w:eastAsia="Times New Roman" w:hAnsi="Verdana" w:cs="Times New Roman"/>
          <w:b/>
          <w:bCs/>
          <w:color w:val="0077D4"/>
          <w:kern w:val="36"/>
          <w:sz w:val="24"/>
          <w:szCs w:val="24"/>
          <w:lang w:eastAsia="tr-TR"/>
        </w:rPr>
        <w:t>Title</w:t>
      </w:r>
      <w:proofErr w:type="spellEnd"/>
    </w:p>
    <w:p w:rsidR="000E14B8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b/>
          <w:bCs/>
          <w:color w:val="0077D4"/>
          <w:sz w:val="24"/>
          <w:szCs w:val="24"/>
          <w:lang w:eastAsia="tr-TR"/>
        </w:rPr>
      </w:pP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b/>
          <w:bCs/>
          <w:color w:val="0077D4"/>
          <w:sz w:val="24"/>
          <w:szCs w:val="24"/>
          <w:lang w:eastAsia="tr-TR"/>
        </w:rPr>
        <w:t>: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b/>
          <w:bCs/>
          <w:color w:val="0077D4"/>
          <w:sz w:val="24"/>
          <w:szCs w:val="24"/>
          <w:lang w:eastAsia="tr-TR"/>
        </w:rPr>
        <w:t>DIRECTOR, INTERNATIONAL INSTITUTE FOR HIGHER EDUCATION IN LATIN AMERICA AND THE CARIBBEAN (IESALC)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(2 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year</w:t>
      </w:r>
      <w:proofErr w:type="spell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contract</w:t>
      </w:r>
      <w:proofErr w:type="spell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- 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maximum</w:t>
      </w:r>
      <w:proofErr w:type="spell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duration</w:t>
      </w:r>
      <w:proofErr w:type="spell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6 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years</w:t>
      </w:r>
      <w:proofErr w:type="spell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gram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Domain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: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Education</w:t>
      </w:r>
      <w:proofErr w:type="gram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- 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Higher</w:t>
      </w:r>
      <w:proofErr w:type="spell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Education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 xml:space="preserve">Post </w:t>
      </w:r>
      <w:proofErr w:type="spellStart"/>
      <w:proofErr w:type="gram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Number</w:t>
      </w:r>
      <w:proofErr w:type="spellEnd"/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: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3VEED0001IH</w:t>
      </w:r>
      <w:proofErr w:type="gramEnd"/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gram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Grade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: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D</w:t>
      </w:r>
      <w:proofErr w:type="gram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-1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outlineLvl w:val="1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</w:pPr>
      <w:proofErr w:type="spell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Organizational</w:t>
      </w:r>
      <w:proofErr w:type="spellEnd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 xml:space="preserve"> </w:t>
      </w:r>
      <w:proofErr w:type="spell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Unit</w:t>
      </w:r>
      <w:proofErr w:type="spellEnd"/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: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EDUCATION SECTOR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outlineLvl w:val="1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</w:pPr>
      <w:proofErr w:type="spell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Primary</w:t>
      </w:r>
      <w:proofErr w:type="spellEnd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 xml:space="preserve"> </w:t>
      </w:r>
      <w:proofErr w:type="spell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Location</w:t>
      </w:r>
      <w:proofErr w:type="spellEnd"/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: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VE-Caracas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spell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Recruitment</w:t>
      </w:r>
      <w:proofErr w:type="spellEnd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 xml:space="preserve"> </w:t>
      </w:r>
      <w:proofErr w:type="spell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open</w:t>
      </w:r>
      <w:proofErr w:type="spellEnd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 xml:space="preserve"> </w:t>
      </w:r>
      <w:proofErr w:type="spellStart"/>
      <w:proofErr w:type="gram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to</w:t>
      </w:r>
      <w:proofErr w:type="spellEnd"/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: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Internal</w:t>
      </w:r>
      <w:proofErr w:type="spellEnd"/>
      <w:proofErr w:type="gram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and</w:t>
      </w:r>
      <w:proofErr w:type="spell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external</w:t>
      </w:r>
      <w:proofErr w:type="spell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candidates</w:t>
      </w:r>
      <w:proofErr w:type="spellEnd"/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spell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Type</w:t>
      </w:r>
      <w:proofErr w:type="spellEnd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 xml:space="preserve"> of </w:t>
      </w:r>
      <w:proofErr w:type="spellStart"/>
      <w:proofErr w:type="gram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contract</w:t>
      </w:r>
      <w:proofErr w:type="spellEnd"/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: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Fixed</w:t>
      </w:r>
      <w:proofErr w:type="spellEnd"/>
      <w:proofErr w:type="gram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Term</w:t>
      </w:r>
      <w:proofErr w:type="spellEnd"/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spellStart"/>
      <w:proofErr w:type="gram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Salary</w:t>
      </w:r>
      <w:proofErr w:type="spellEnd"/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: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168</w:t>
      </w:r>
      <w:proofErr w:type="gram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,322 USD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 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proofErr w:type="spell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Deadline</w:t>
      </w:r>
      <w:proofErr w:type="spellEnd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 xml:space="preserve"> (</w:t>
      </w:r>
      <w:proofErr w:type="spellStart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Midnight</w:t>
      </w:r>
      <w:proofErr w:type="spellEnd"/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 xml:space="preserve"> Paris Time)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:</w:t>
      </w:r>
      <w:r w:rsidRPr="00450995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  <w:proofErr w:type="spellStart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September</w:t>
      </w:r>
      <w:proofErr w:type="spellEnd"/>
      <w:r w:rsidRPr="00450995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30, 2018</w:t>
      </w:r>
    </w:p>
    <w:p w:rsidR="00450995" w:rsidRPr="00450995" w:rsidRDefault="00450995" w:rsidP="000E14B8">
      <w:pPr>
        <w:shd w:val="clear" w:color="auto" w:fill="FFFFFF"/>
        <w:spacing w:line="240" w:lineRule="auto"/>
        <w:ind w:hanging="567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bookmarkStart w:id="0" w:name="_GoBack"/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tr-TR"/>
        </w:rPr>
        <w:drawing>
          <wp:inline distT="0" distB="0" distL="0" distR="0">
            <wp:extent cx="7658100" cy="323850"/>
            <wp:effectExtent l="0" t="0" r="0" b="0"/>
            <wp:docPr id="3" name="Resim 3" descr="Core Values 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 Values F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0995" w:rsidRPr="00450995" w:rsidRDefault="00450995" w:rsidP="00450995">
      <w:pPr>
        <w:shd w:val="clear" w:color="auto" w:fill="FFFFFF"/>
        <w:spacing w:line="240" w:lineRule="auto"/>
        <w:jc w:val="left"/>
        <w:outlineLvl w:val="1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</w:pP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OVERVIEW OF THE FUNCTIONS OF THE POST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UNESCO International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Institute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for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Higher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Education in Latin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America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Caribbean (IESALC) is an integral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part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UNESCO’s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Education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Sector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operating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with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statutory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institutional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autonomy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under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guidance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its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Governing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Board. IESALC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promotes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an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integrated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approach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development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renewal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higher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education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in Latin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America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Caribbean as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well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as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consolidates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expansion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improves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relevance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quality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higher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education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systems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order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meet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region’s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present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future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needs</w:t>
      </w:r>
      <w:proofErr w:type="spellEnd"/>
      <w:r w:rsidRPr="00450995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proofErr w:type="gram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Under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authority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UNESCO’s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Director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-General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direct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supervision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Assistant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Director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-General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Education,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incumbent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close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collaboration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with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UNESCO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Offices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Latin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America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Caribbean,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provides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intellectual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leadership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strategic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vision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IESALC’s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regional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programme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staff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ensuring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that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IESALC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contributes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fully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achievement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UNESCO’s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objectives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  <w:proofErr w:type="gramEnd"/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br/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Guided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general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policies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established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Governing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Board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IESALC’s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programme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budget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incumbent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is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responsible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administering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Institute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planning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executing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reporting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its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programme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budget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.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incumbent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will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also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ensure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that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IESALC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fully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contributes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achievement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UNESCO’s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Education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programme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objectives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context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implementation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Goal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4 (Education)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2030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Sustainable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Development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Agenda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. </w:t>
      </w:r>
      <w:proofErr w:type="spellStart"/>
      <w:proofErr w:type="gram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incumbent’s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responsibilities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also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include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human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resource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planning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recruitment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performance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management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order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develop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motivated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effective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teams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with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appropriate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competencies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achieve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IESALC’s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objectives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;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resource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mobilization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;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acting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as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external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advocate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IESALC,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liaising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with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financial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partners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ministries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education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as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well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as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with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IESALC’s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other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stakeholders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. </w:t>
      </w:r>
      <w:proofErr w:type="gram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He/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will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also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maintain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close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cooperation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with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national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authorities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United Nations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agencies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development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banks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NGOs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bilateral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organizations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with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view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implement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monitor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evaluate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programmes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area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higher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education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region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which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is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characterized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middle-income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countries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’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context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.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close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cooperation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with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UNESCO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Offices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Latin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America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Caribbean,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incumbent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will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develop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activities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strengthen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regional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cooperation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fund-raising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field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while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collaborating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with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academic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institutions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both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public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private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COMPETENCIES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noProof/>
          <w:color w:val="0077D4"/>
          <w:sz w:val="18"/>
          <w:szCs w:val="18"/>
          <w:lang w:eastAsia="tr-TR"/>
        </w:rPr>
        <w:lastRenderedPageBreak/>
        <w:drawing>
          <wp:inline distT="0" distB="0" distL="0" distR="0">
            <wp:extent cx="7048500" cy="2838450"/>
            <wp:effectExtent l="0" t="0" r="0" b="0"/>
            <wp:docPr id="2" name="Resim 2" descr="http://unesco.taleo.net/custom/images/company_logo_03.gif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esco.taleo.net/custom/images/company_logo_03.gif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outlineLvl w:val="1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tr-TR"/>
        </w:rPr>
      </w:pP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REQUIRED QUALIFICATIONS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Education</w:t>
      </w:r>
    </w:p>
    <w:p w:rsidR="00450995" w:rsidRPr="00450995" w:rsidRDefault="00450995" w:rsidP="004509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Advanced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university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degree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(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Master's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equivalent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)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field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education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economics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social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sciences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related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areas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Work</w:t>
      </w:r>
      <w:proofErr w:type="spellEnd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Experience</w:t>
      </w:r>
      <w:proofErr w:type="spellEnd"/>
    </w:p>
    <w:p w:rsidR="00450995" w:rsidRPr="00450995" w:rsidRDefault="00450995" w:rsidP="004509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Minimum of 15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years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relevant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experience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field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education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 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related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areas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work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at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national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international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levels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backed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by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several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years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experience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senior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management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positions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Skills</w:t>
      </w:r>
      <w:proofErr w:type="spellEnd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/</w:t>
      </w:r>
      <w:proofErr w:type="spellStart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Competencies</w:t>
      </w:r>
      <w:proofErr w:type="spellEnd"/>
    </w:p>
    <w:p w:rsidR="00450995" w:rsidRPr="00450995" w:rsidRDefault="00450995" w:rsidP="00450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Capacity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administer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extensive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programme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financial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resources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exercise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appropriate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supervision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control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Experience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advocacy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ability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interact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with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wide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range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high-level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partners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demonstrated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experience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partnership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development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partnership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mobilization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Proven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experience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achievements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fundraising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Experience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administration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management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financial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human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resources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at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senior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level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Relevant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research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ability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identify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emerging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educational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needs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which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international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research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training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programme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could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make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substantial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contribution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as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well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as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exploring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new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avenues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patterns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action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Excellent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understanding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global</w:t>
      </w:r>
      <w:proofErr w:type="gram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trends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higher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education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systems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Latin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America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Caribbean.</w:t>
      </w:r>
    </w:p>
    <w:p w:rsidR="00450995" w:rsidRPr="00450995" w:rsidRDefault="00450995" w:rsidP="00450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Demonstrated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interpersonal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skills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ability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provide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intellectual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leadership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motivate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multidisciplinary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teams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 a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multicultural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environment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as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well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as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ensure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training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development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staff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Ability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communicate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effectively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persuasively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orally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writing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with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strong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representational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abilities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Languages</w:t>
      </w:r>
      <w:proofErr w:type="spellEnd"/>
    </w:p>
    <w:p w:rsidR="00450995" w:rsidRPr="00450995" w:rsidRDefault="00450995" w:rsidP="0045099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Excellent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knowledge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(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spoken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written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) of English.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Good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working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knowledge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Spanish.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DESIRABLE QUALIFICATIONS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Education</w:t>
      </w:r>
    </w:p>
    <w:p w:rsidR="00450995" w:rsidRPr="00450995" w:rsidRDefault="00450995" w:rsidP="004509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lastRenderedPageBreak/>
        <w:t xml:space="preserve">A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degree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at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Doctorate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level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quivalent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field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education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Other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degrees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short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-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medium-term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training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disciplines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relevant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to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post.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Work</w:t>
      </w:r>
      <w:proofErr w:type="spellEnd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Experience</w:t>
      </w:r>
      <w:proofErr w:type="spellEnd"/>
    </w:p>
    <w:p w:rsidR="00450995" w:rsidRPr="00450995" w:rsidRDefault="00450995" w:rsidP="00450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A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proven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record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senior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management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professional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experience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establishments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specializing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higher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education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training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institutions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science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technology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and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/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research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Experience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in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higher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education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Experience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within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the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United Nations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system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.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Skills</w:t>
      </w:r>
      <w:proofErr w:type="spellEnd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/</w:t>
      </w:r>
      <w:proofErr w:type="spellStart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Competencies</w:t>
      </w:r>
      <w:proofErr w:type="spellEnd"/>
    </w:p>
    <w:p w:rsidR="00450995" w:rsidRPr="00450995" w:rsidRDefault="00450995" w:rsidP="004509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Strong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global</w:t>
      </w:r>
      <w:proofErr w:type="gram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professional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network.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proofErr w:type="spellStart"/>
      <w:r w:rsidRPr="00450995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tr-TR"/>
        </w:rPr>
        <w:t>Languages</w:t>
      </w:r>
      <w:proofErr w:type="spellEnd"/>
    </w:p>
    <w:p w:rsidR="00450995" w:rsidRPr="00450995" w:rsidRDefault="00450995" w:rsidP="0045099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Knowledge of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other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official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United Nations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languages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(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Arabic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Chinese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, French </w:t>
      </w:r>
      <w:proofErr w:type="spellStart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>or</w:t>
      </w:r>
      <w:proofErr w:type="spellEnd"/>
      <w:r w:rsidRPr="00450995">
        <w:rPr>
          <w:rFonts w:ascii="Tahoma" w:eastAsia="Times New Roman" w:hAnsi="Tahoma" w:cs="Tahoma"/>
          <w:color w:val="000000"/>
          <w:sz w:val="20"/>
          <w:szCs w:val="20"/>
          <w:lang w:eastAsia="tr-TR"/>
        </w:rPr>
        <w:t xml:space="preserve"> Russian).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450995">
        <w:rPr>
          <w:rFonts w:ascii="Verdana" w:eastAsia="Times New Roman" w:hAnsi="Verdana" w:cs="Times New Roman"/>
          <w:b/>
          <w:bCs/>
          <w:color w:val="0077D4"/>
          <w:sz w:val="18"/>
          <w:szCs w:val="18"/>
          <w:lang w:eastAsia="tr-TR"/>
        </w:rPr>
        <w:t>BENEFITS AND ENTITLEMENTS</w:t>
      </w:r>
    </w:p>
    <w:p w:rsidR="00450995" w:rsidRPr="00450995" w:rsidRDefault="00450995" w:rsidP="00450995">
      <w:pPr>
        <w:shd w:val="clear" w:color="auto" w:fill="FFFFFF"/>
        <w:spacing w:line="240" w:lineRule="auto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>
        <w:rPr>
          <w:rFonts w:ascii="Verdana" w:eastAsia="Times New Roman" w:hAnsi="Verdana" w:cs="Times New Roman"/>
          <w:noProof/>
          <w:color w:val="0077D4"/>
          <w:sz w:val="18"/>
          <w:szCs w:val="18"/>
          <w:lang w:eastAsia="tr-TR"/>
        </w:rPr>
        <w:drawing>
          <wp:inline distT="0" distB="0" distL="0" distR="0">
            <wp:extent cx="7077075" cy="1190625"/>
            <wp:effectExtent l="0" t="0" r="9525" b="9525"/>
            <wp:docPr id="1" name="Resim 1" descr="P">
              <a:hlinkClick xmlns:a="http://schemas.openxmlformats.org/drawingml/2006/main" r:id="rId9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">
                      <a:hlinkClick r:id="rId9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08" w:rsidRDefault="009A1D08"/>
    <w:sectPr w:rsidR="009A1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641"/>
    <w:multiLevelType w:val="multilevel"/>
    <w:tmpl w:val="C5A6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74AD8"/>
    <w:multiLevelType w:val="multilevel"/>
    <w:tmpl w:val="217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F5C21"/>
    <w:multiLevelType w:val="multilevel"/>
    <w:tmpl w:val="3C0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01333"/>
    <w:multiLevelType w:val="multilevel"/>
    <w:tmpl w:val="874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22A42"/>
    <w:multiLevelType w:val="multilevel"/>
    <w:tmpl w:val="9F9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73C47"/>
    <w:multiLevelType w:val="multilevel"/>
    <w:tmpl w:val="52D8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65F72"/>
    <w:multiLevelType w:val="multilevel"/>
    <w:tmpl w:val="AC14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F293F"/>
    <w:multiLevelType w:val="multilevel"/>
    <w:tmpl w:val="3B26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94"/>
    <w:rsid w:val="00025494"/>
    <w:rsid w:val="000E14B8"/>
    <w:rsid w:val="00264375"/>
    <w:rsid w:val="00450995"/>
    <w:rsid w:val="004B23B2"/>
    <w:rsid w:val="008248E4"/>
    <w:rsid w:val="009A1D08"/>
    <w:rsid w:val="00B13EB5"/>
    <w:rsid w:val="00BC62F8"/>
    <w:rsid w:val="00C2598A"/>
    <w:rsid w:val="00D67AF7"/>
    <w:rsid w:val="00E244F1"/>
    <w:rsid w:val="00E941A5"/>
    <w:rsid w:val="00E96ACB"/>
    <w:rsid w:val="00EC46B5"/>
    <w:rsid w:val="00F1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099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5099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0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5099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titlepage">
    <w:name w:val="titlepage"/>
    <w:basedOn w:val="VarsaylanParagrafYazTipi"/>
    <w:rsid w:val="00450995"/>
  </w:style>
  <w:style w:type="character" w:customStyle="1" w:styleId="inline">
    <w:name w:val="inline"/>
    <w:basedOn w:val="VarsaylanParagrafYazTipi"/>
    <w:rsid w:val="00450995"/>
  </w:style>
  <w:style w:type="character" w:customStyle="1" w:styleId="text">
    <w:name w:val="text"/>
    <w:basedOn w:val="VarsaylanParagrafYazTipi"/>
    <w:rsid w:val="00450995"/>
  </w:style>
  <w:style w:type="character" w:customStyle="1" w:styleId="subtitle">
    <w:name w:val="subtitle"/>
    <w:basedOn w:val="VarsaylanParagrafYazTipi"/>
    <w:rsid w:val="00450995"/>
  </w:style>
  <w:style w:type="paragraph" w:styleId="NormalWeb">
    <w:name w:val="Normal (Web)"/>
    <w:basedOn w:val="Normal"/>
    <w:uiPriority w:val="99"/>
    <w:semiHidden/>
    <w:unhideWhenUsed/>
    <w:rsid w:val="004509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50995"/>
    <w:rPr>
      <w:i/>
      <w:iCs/>
    </w:rPr>
  </w:style>
  <w:style w:type="character" w:styleId="Gl">
    <w:name w:val="Strong"/>
    <w:basedOn w:val="VarsaylanParagrafYazTipi"/>
    <w:uiPriority w:val="22"/>
    <w:qFormat/>
    <w:rsid w:val="004509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0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099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50995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0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5099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titlepage">
    <w:name w:val="titlepage"/>
    <w:basedOn w:val="VarsaylanParagrafYazTipi"/>
    <w:rsid w:val="00450995"/>
  </w:style>
  <w:style w:type="character" w:customStyle="1" w:styleId="inline">
    <w:name w:val="inline"/>
    <w:basedOn w:val="VarsaylanParagrafYazTipi"/>
    <w:rsid w:val="00450995"/>
  </w:style>
  <w:style w:type="character" w:customStyle="1" w:styleId="text">
    <w:name w:val="text"/>
    <w:basedOn w:val="VarsaylanParagrafYazTipi"/>
    <w:rsid w:val="00450995"/>
  </w:style>
  <w:style w:type="character" w:customStyle="1" w:styleId="subtitle">
    <w:name w:val="subtitle"/>
    <w:basedOn w:val="VarsaylanParagrafYazTipi"/>
    <w:rsid w:val="00450995"/>
  </w:style>
  <w:style w:type="paragraph" w:styleId="NormalWeb">
    <w:name w:val="Normal (Web)"/>
    <w:basedOn w:val="Normal"/>
    <w:uiPriority w:val="99"/>
    <w:semiHidden/>
    <w:unhideWhenUsed/>
    <w:rsid w:val="004509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50995"/>
    <w:rPr>
      <w:i/>
      <w:iCs/>
    </w:rPr>
  </w:style>
  <w:style w:type="character" w:styleId="Gl">
    <w:name w:val="Strong"/>
    <w:basedOn w:val="VarsaylanParagrafYazTipi"/>
    <w:uiPriority w:val="22"/>
    <w:qFormat/>
    <w:rsid w:val="004509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09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s://en.unesco.org/careers/sites/careers/files/Competency%20Framework_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csc.un.org/rootindex.as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KUZGUN</dc:creator>
  <cp:keywords/>
  <dc:description/>
  <cp:lastModifiedBy>Seda KUZGUN</cp:lastModifiedBy>
  <cp:revision>3</cp:revision>
  <dcterms:created xsi:type="dcterms:W3CDTF">2018-09-18T13:53:00Z</dcterms:created>
  <dcterms:modified xsi:type="dcterms:W3CDTF">2018-09-18T13:54:00Z</dcterms:modified>
</cp:coreProperties>
</file>